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1A7D3D1B" w:rsidR="002A3280" w:rsidRPr="006402C1" w:rsidRDefault="002A3280" w:rsidP="000C1725">
      <w:pPr>
        <w:spacing w:after="0"/>
        <w:jc w:val="center"/>
        <w:rPr>
          <w:b/>
          <w:sz w:val="28"/>
        </w:rPr>
      </w:pPr>
      <w:r>
        <w:rPr>
          <w:b/>
          <w:sz w:val="36"/>
        </w:rPr>
        <w:t xml:space="preserve">nr </w:t>
      </w:r>
      <w:r w:rsidR="003C51CF">
        <w:rPr>
          <w:b/>
          <w:sz w:val="36"/>
        </w:rPr>
        <w:t>3</w:t>
      </w:r>
      <w:r>
        <w:rPr>
          <w:b/>
          <w:sz w:val="36"/>
        </w:rPr>
        <w:t xml:space="preserve">/2021 – </w:t>
      </w:r>
      <w:r w:rsidR="000C1725">
        <w:rPr>
          <w:b/>
          <w:sz w:val="36"/>
        </w:rPr>
        <w:t xml:space="preserve">Wyposażenie </w:t>
      </w:r>
      <w:r w:rsidR="003C51CF">
        <w:rPr>
          <w:b/>
          <w:sz w:val="36"/>
        </w:rPr>
        <w:t>sali polisensorycznej</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22E409CB"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wyposażenia sali </w:t>
      </w:r>
      <w:r w:rsidR="003C51CF">
        <w:rPr>
          <w:rFonts w:cs="Calibri"/>
          <w:bCs/>
          <w:sz w:val="24"/>
          <w:szCs w:val="24"/>
        </w:rPr>
        <w:t>polisensorycznej</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3999FAE7" w14:textId="77777777" w:rsidR="002A3280" w:rsidRDefault="002A3280" w:rsidP="00AC5D5F"/>
    <w:p w14:paraId="633B50B9" w14:textId="77777777" w:rsidR="002A3280" w:rsidRDefault="002A3280" w:rsidP="00AD270B">
      <w:pPr>
        <w:tabs>
          <w:tab w:val="left" w:pos="3375"/>
        </w:tabs>
        <w:jc w:val="center"/>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301C9124" w14:textId="77777777" w:rsidR="002A3280" w:rsidRDefault="002A3280" w:rsidP="00AD270B">
      <w:pPr>
        <w:rPr>
          <w:sz w:val="28"/>
          <w:szCs w:val="28"/>
        </w:rPr>
      </w:pPr>
      <w:r>
        <w:rPr>
          <w:b/>
          <w:sz w:val="28"/>
          <w:szCs w:val="28"/>
        </w:rPr>
        <w:t xml:space="preserve">                                          ……………………………………………….</w:t>
      </w:r>
    </w:p>
    <w:p w14:paraId="52F8D7B0" w14:textId="77777777" w:rsidR="002A3280" w:rsidRDefault="002A3280" w:rsidP="00AD270B">
      <w:pPr>
        <w:tabs>
          <w:tab w:val="left" w:pos="1170"/>
        </w:tabs>
        <w:rPr>
          <w:sz w:val="28"/>
          <w:szCs w:val="28"/>
        </w:rPr>
      </w:pPr>
      <w:r>
        <w:rPr>
          <w:sz w:val="28"/>
          <w:szCs w:val="28"/>
        </w:rPr>
        <w:tab/>
      </w:r>
    </w:p>
    <w:p w14:paraId="2F774AF6" w14:textId="77777777" w:rsidR="002A3280" w:rsidRDefault="002A3280" w:rsidP="00AD270B">
      <w:pPr>
        <w:tabs>
          <w:tab w:val="left" w:pos="1170"/>
        </w:tabs>
        <w:rPr>
          <w:sz w:val="28"/>
          <w:szCs w:val="28"/>
        </w:rPr>
      </w:pPr>
    </w:p>
    <w:p w14:paraId="0E8398E9" w14:textId="77777777" w:rsidR="002A3280" w:rsidRDefault="002A3280" w:rsidP="00AD270B">
      <w:pPr>
        <w:tabs>
          <w:tab w:val="left" w:pos="1170"/>
        </w:tabs>
        <w:rPr>
          <w:sz w:val="28"/>
          <w:szCs w:val="28"/>
        </w:rPr>
      </w:pPr>
    </w:p>
    <w:p w14:paraId="698DD871" w14:textId="5CFC9881" w:rsidR="002A3280" w:rsidRDefault="00B50C80" w:rsidP="00AD270B">
      <w:pPr>
        <w:tabs>
          <w:tab w:val="left" w:pos="1170"/>
        </w:tabs>
        <w:spacing w:after="0"/>
        <w:rPr>
          <w:sz w:val="28"/>
          <w:szCs w:val="28"/>
        </w:rPr>
      </w:pPr>
      <w:r>
        <w:rPr>
          <w:noProof/>
        </w:rPr>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(MIiR/2014-2020/12(4))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 xml:space="preserve">Rozbudowa budynku Ośrodka Rehabilitacyjno-Edukacyjno-Wychowawczego PROMYK o budynek </w:t>
      </w:r>
      <w:r w:rsidR="005441E8" w:rsidRPr="005441E8">
        <w:rPr>
          <w:rFonts w:cs="Calibri"/>
          <w:bCs/>
        </w:rPr>
        <w:lastRenderedPageBreak/>
        <w:t>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v:textbox>
                <w10:wrap type="topAndBottom"/>
              </v:shape>
            </w:pict>
          </mc:Fallback>
        </mc:AlternateContent>
      </w:r>
    </w:p>
    <w:p w14:paraId="2D5CB3B1" w14:textId="490EBA40" w:rsidR="002A3280" w:rsidRDefault="002A3280" w:rsidP="00B339D3">
      <w:pPr>
        <w:jc w:val="both"/>
      </w:pPr>
      <w:r w:rsidRPr="00D13E60">
        <w:t xml:space="preserve">4.1. Opis przedmiotu zamówienia za pomocą Wspólnego Słownika Zamówień (CPV): </w:t>
      </w:r>
    </w:p>
    <w:p w14:paraId="550C093B" w14:textId="36F4B950" w:rsidR="00AE2C0C" w:rsidRPr="00AE2C0C" w:rsidRDefault="00AE2C0C" w:rsidP="00AE2C0C">
      <w:pPr>
        <w:shd w:val="clear" w:color="auto" w:fill="FFFFFF" w:themeFill="background1"/>
        <w:jc w:val="both"/>
        <w:rPr>
          <w:rFonts w:asciiTheme="minorHAnsi" w:hAnsiTheme="minorHAnsi" w:cstheme="minorHAnsi"/>
          <w:color w:val="000000" w:themeColor="text1"/>
          <w:sz w:val="24"/>
          <w:szCs w:val="24"/>
        </w:rPr>
      </w:pPr>
      <w:r w:rsidRPr="00AE2C0C">
        <w:rPr>
          <w:rFonts w:asciiTheme="minorHAnsi" w:hAnsiTheme="minorHAnsi" w:cstheme="minorHAnsi"/>
          <w:color w:val="000000" w:themeColor="text1"/>
          <w:sz w:val="24"/>
          <w:szCs w:val="24"/>
          <w:shd w:val="clear" w:color="auto" w:fill="F7F7F7"/>
        </w:rPr>
        <w:t>391500008 Różne meble i wyposażenie</w:t>
      </w:r>
    </w:p>
    <w:p w14:paraId="68E0A0A8" w14:textId="3D0FD5BE"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i dostawa wyposażenia sali polisensorycznej</w:t>
      </w:r>
      <w:r>
        <w:t xml:space="preserve">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3C51CF" w14:paraId="1D306ACD" w14:textId="77777777" w:rsidTr="006444B2">
        <w:trPr>
          <w:trHeight w:val="709"/>
        </w:trPr>
        <w:tc>
          <w:tcPr>
            <w:tcW w:w="999" w:type="pct"/>
          </w:tcPr>
          <w:p w14:paraId="33D21600" w14:textId="6E8B5D2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mebli</w:t>
            </w:r>
          </w:p>
        </w:tc>
        <w:tc>
          <w:tcPr>
            <w:tcW w:w="509" w:type="pct"/>
          </w:tcPr>
          <w:p w14:paraId="1DA2D7D7" w14:textId="4F30793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B3F24C8" w14:textId="11A818B1"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D636BAD" w14:textId="77777777" w:rsidR="003C51CF" w:rsidRDefault="003C51CF" w:rsidP="003C51CF">
            <w:r>
              <w:t xml:space="preserve">- metal malowany proszkowo, </w:t>
            </w:r>
          </w:p>
          <w:p w14:paraId="66AECE79" w14:textId="77777777" w:rsidR="003C51CF" w:rsidRDefault="003C51CF" w:rsidP="003C51CF">
            <w:r>
              <w:t xml:space="preserve">- płyta laminowana, </w:t>
            </w:r>
          </w:p>
          <w:p w14:paraId="08351A31" w14:textId="77777777" w:rsidR="003C51CF" w:rsidRDefault="003C51CF" w:rsidP="003C51CF">
            <w:r>
              <w:t xml:space="preserve">- siedzenia wypełnione gąbką PUR, </w:t>
            </w:r>
          </w:p>
          <w:p w14:paraId="7DAE611A" w14:textId="77777777" w:rsidR="003C51CF" w:rsidRDefault="003C51CF" w:rsidP="003C51CF">
            <w:r>
              <w:t xml:space="preserve">- możliwość regulowania wysokości siedzenia, </w:t>
            </w:r>
          </w:p>
          <w:p w14:paraId="1072BFB0" w14:textId="7810C95F" w:rsidR="003C51CF" w:rsidRDefault="003C51CF" w:rsidP="003C51CF">
            <w:r>
              <w:t>- szerokość stołu min. 150 cm;</w:t>
            </w:r>
          </w:p>
        </w:tc>
      </w:tr>
      <w:tr w:rsidR="003C51CF" w14:paraId="5A929A05" w14:textId="77777777" w:rsidTr="006444B2">
        <w:trPr>
          <w:trHeight w:val="709"/>
        </w:trPr>
        <w:tc>
          <w:tcPr>
            <w:tcW w:w="999" w:type="pct"/>
          </w:tcPr>
          <w:p w14:paraId="4A83FAC2" w14:textId="7B2EA721"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Zestaw (dywan narożny, kącik manipulacyjno-sensoryczny, basen ze światłem LED, mata sensoryczna, </w:t>
            </w:r>
            <w:r>
              <w:rPr>
                <w:rFonts w:eastAsia="SimSun" w:cs="Calibri"/>
                <w:color w:val="000000"/>
                <w:shd w:val="clear" w:color="auto" w:fill="FFFFFF"/>
              </w:rPr>
              <w:lastRenderedPageBreak/>
              <w:t>hamak, baldachim, materac narożny)</w:t>
            </w:r>
          </w:p>
        </w:tc>
        <w:tc>
          <w:tcPr>
            <w:tcW w:w="509" w:type="pct"/>
          </w:tcPr>
          <w:p w14:paraId="4437CFA0" w14:textId="2B02DCF3"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szt</w:t>
            </w:r>
          </w:p>
        </w:tc>
        <w:tc>
          <w:tcPr>
            <w:tcW w:w="387" w:type="pct"/>
          </w:tcPr>
          <w:p w14:paraId="2C24FD3A" w14:textId="27E315E5"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2615B03A" w14:textId="77777777" w:rsidR="003C51CF" w:rsidRDefault="003C51CF" w:rsidP="003C51CF">
            <w:r>
              <w:t xml:space="preserve">- zestaw siedmioelementowy, </w:t>
            </w:r>
          </w:p>
          <w:p w14:paraId="434786A1" w14:textId="77777777" w:rsidR="003C51CF" w:rsidRDefault="003C51CF" w:rsidP="003C51CF">
            <w:r>
              <w:t xml:space="preserve">- elementy technologiczne (światła LED), </w:t>
            </w:r>
          </w:p>
          <w:p w14:paraId="49C057EA" w14:textId="77777777" w:rsidR="003C51CF" w:rsidRDefault="003C51CF" w:rsidP="003C51CF">
            <w:r>
              <w:t xml:space="preserve">- drewno lakierowane, </w:t>
            </w:r>
          </w:p>
          <w:p w14:paraId="36D906DF" w14:textId="77777777" w:rsidR="003C51CF" w:rsidRDefault="003C51CF" w:rsidP="003C51CF">
            <w:r>
              <w:t xml:space="preserve">- pianka PUR, </w:t>
            </w:r>
          </w:p>
          <w:p w14:paraId="22135438" w14:textId="4A2EA048" w:rsidR="003C51CF" w:rsidRDefault="003C51CF" w:rsidP="003C51CF">
            <w:r>
              <w:lastRenderedPageBreak/>
              <w:t>- skóra ekologiczna odporna na ścieranie;</w:t>
            </w:r>
          </w:p>
        </w:tc>
      </w:tr>
      <w:tr w:rsidR="003C51CF" w14:paraId="43D2E462" w14:textId="77777777" w:rsidTr="006444B2">
        <w:trPr>
          <w:trHeight w:val="709"/>
        </w:trPr>
        <w:tc>
          <w:tcPr>
            <w:tcW w:w="999" w:type="pct"/>
          </w:tcPr>
          <w:p w14:paraId="4191ED68" w14:textId="101B0CC6"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Kolumna bąbelkowa</w:t>
            </w:r>
          </w:p>
        </w:tc>
        <w:tc>
          <w:tcPr>
            <w:tcW w:w="509" w:type="pct"/>
          </w:tcPr>
          <w:p w14:paraId="164D8AB9" w14:textId="10C20FB8"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F89D0" w14:textId="7FE1B44C"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28F9F1E" w14:textId="77777777" w:rsidR="003C51CF" w:rsidRDefault="003C51CF" w:rsidP="003C51CF">
            <w:r>
              <w:t xml:space="preserve">- średnica min. 10 cm, </w:t>
            </w:r>
          </w:p>
          <w:p w14:paraId="1D09A2A4" w14:textId="77777777" w:rsidR="003C51CF" w:rsidRDefault="003C51CF" w:rsidP="003C51CF">
            <w:r>
              <w:t xml:space="preserve">- wysokość min. 120 cm, </w:t>
            </w:r>
          </w:p>
          <w:p w14:paraId="2FE6C9A7" w14:textId="42EC3EC8" w:rsidR="003C51CF" w:rsidRDefault="003C51CF" w:rsidP="003C51CF">
            <w:r>
              <w:t>- światło LED;</w:t>
            </w:r>
          </w:p>
        </w:tc>
      </w:tr>
      <w:tr w:rsidR="003C51CF" w14:paraId="25C6EA05" w14:textId="77777777" w:rsidTr="006444B2">
        <w:trPr>
          <w:trHeight w:val="709"/>
        </w:trPr>
        <w:tc>
          <w:tcPr>
            <w:tcW w:w="999" w:type="pct"/>
          </w:tcPr>
          <w:p w14:paraId="37741CC8" w14:textId="4991E0C1"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Kaskada światłowodowa</w:t>
            </w:r>
          </w:p>
        </w:tc>
        <w:tc>
          <w:tcPr>
            <w:tcW w:w="509" w:type="pct"/>
          </w:tcPr>
          <w:p w14:paraId="7C8103A9" w14:textId="52E81395"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C7676E2" w14:textId="2C4415A5"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75B77BF" w14:textId="77777777" w:rsidR="003C51CF" w:rsidRDefault="003C51CF" w:rsidP="003C51CF">
            <w:r>
              <w:t xml:space="preserve">- sterowanie na pilota, </w:t>
            </w:r>
          </w:p>
          <w:p w14:paraId="1A37F54D" w14:textId="77777777" w:rsidR="003C51CF" w:rsidRDefault="003C51CF" w:rsidP="003C51CF">
            <w:r>
              <w:t xml:space="preserve">- ilość światłowodów min. 100, </w:t>
            </w:r>
          </w:p>
          <w:p w14:paraId="61839D0C" w14:textId="77777777" w:rsidR="003C51CF" w:rsidRDefault="003C51CF" w:rsidP="003C51CF">
            <w:r>
              <w:t xml:space="preserve">- długość światłowodu min. 1 m, </w:t>
            </w:r>
          </w:p>
          <w:p w14:paraId="67BBAC1E" w14:textId="31EC931F" w:rsidR="003C51CF" w:rsidRDefault="003C51CF" w:rsidP="003C51CF">
            <w:r>
              <w:t>- koszulka PVC;</w:t>
            </w:r>
          </w:p>
        </w:tc>
      </w:tr>
      <w:tr w:rsidR="003C51CF" w14:paraId="12CF3006" w14:textId="77777777" w:rsidTr="006444B2">
        <w:trPr>
          <w:trHeight w:val="709"/>
        </w:trPr>
        <w:tc>
          <w:tcPr>
            <w:tcW w:w="999" w:type="pct"/>
          </w:tcPr>
          <w:p w14:paraId="00FC701F" w14:textId="7F0B33F2"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Lustro nieskończoności</w:t>
            </w:r>
          </w:p>
        </w:tc>
        <w:tc>
          <w:tcPr>
            <w:tcW w:w="509" w:type="pct"/>
          </w:tcPr>
          <w:p w14:paraId="6F66048A" w14:textId="7E5A9DA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91394" w14:textId="75601D89"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99C6D30" w14:textId="77777777" w:rsidR="003C51CF" w:rsidRDefault="003C51CF" w:rsidP="003C51CF">
            <w:r>
              <w:t xml:space="preserve">- wymiary min. 30x30 cm, </w:t>
            </w:r>
          </w:p>
          <w:p w14:paraId="7ED22317" w14:textId="77777777" w:rsidR="003C51CF" w:rsidRDefault="003C51CF" w:rsidP="003C51CF">
            <w:r>
              <w:t xml:space="preserve">- światła LED, </w:t>
            </w:r>
          </w:p>
          <w:p w14:paraId="3800D3EE" w14:textId="0DD7E10E" w:rsidR="003C51CF" w:rsidRDefault="003C51CF" w:rsidP="003C51CF">
            <w:r>
              <w:t>- sterowanie na pilota;</w:t>
            </w:r>
          </w:p>
        </w:tc>
      </w:tr>
      <w:tr w:rsidR="003C51CF" w14:paraId="7F1048BE" w14:textId="77777777" w:rsidTr="006444B2">
        <w:trPr>
          <w:trHeight w:val="709"/>
        </w:trPr>
        <w:tc>
          <w:tcPr>
            <w:tcW w:w="999" w:type="pct"/>
          </w:tcPr>
          <w:p w14:paraId="0A50EAA5" w14:textId="25EED1E0"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Akwarium z meduzami</w:t>
            </w:r>
          </w:p>
        </w:tc>
        <w:tc>
          <w:tcPr>
            <w:tcW w:w="509" w:type="pct"/>
          </w:tcPr>
          <w:p w14:paraId="5D4660A8" w14:textId="623588CA"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FF6E704" w14:textId="3ACDA6E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6C678AA" w14:textId="77777777" w:rsidR="003C51CF" w:rsidRDefault="003C51CF" w:rsidP="003C51CF">
            <w:r>
              <w:t xml:space="preserve">- światła LED, </w:t>
            </w:r>
          </w:p>
          <w:p w14:paraId="226C4D84" w14:textId="77777777" w:rsidR="003C51CF" w:rsidRDefault="003C51CF" w:rsidP="003C51CF">
            <w:r>
              <w:t xml:space="preserve">- wymiary min. 45/25/10 cm, </w:t>
            </w:r>
          </w:p>
          <w:p w14:paraId="6E098A6C" w14:textId="287EC8A2" w:rsidR="003C51CF" w:rsidRDefault="003C51CF" w:rsidP="003C51CF">
            <w:r>
              <w:t>- materiały: tworzywo sztuczne, szkło;</w:t>
            </w:r>
          </w:p>
        </w:tc>
      </w:tr>
      <w:tr w:rsidR="003C51CF" w14:paraId="3667492A" w14:textId="77777777" w:rsidTr="006444B2">
        <w:trPr>
          <w:trHeight w:val="709"/>
        </w:trPr>
        <w:tc>
          <w:tcPr>
            <w:tcW w:w="999" w:type="pct"/>
          </w:tcPr>
          <w:p w14:paraId="3C265140" w14:textId="2123535C"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Fluorescencyjne tuby</w:t>
            </w:r>
          </w:p>
        </w:tc>
        <w:tc>
          <w:tcPr>
            <w:tcW w:w="509" w:type="pct"/>
          </w:tcPr>
          <w:p w14:paraId="2507C61D" w14:textId="732C5995"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48136A" w14:textId="0775A0B8"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03BF54F5" w14:textId="77777777" w:rsidR="003C51CF" w:rsidRDefault="003C51CF" w:rsidP="003C51CF">
            <w:r>
              <w:t xml:space="preserve">- granulat UV, </w:t>
            </w:r>
          </w:p>
          <w:p w14:paraId="0E55C248" w14:textId="77777777" w:rsidR="003C51CF" w:rsidRDefault="003C51CF" w:rsidP="003C51CF">
            <w:r>
              <w:t xml:space="preserve">- długość tuby min. 15 cm, </w:t>
            </w:r>
          </w:p>
          <w:p w14:paraId="53B002C3" w14:textId="77777777" w:rsidR="003C51CF" w:rsidRDefault="003C51CF" w:rsidP="003C51CF">
            <w:r>
              <w:t xml:space="preserve">- średnica tuby min. 4 cm, </w:t>
            </w:r>
          </w:p>
          <w:p w14:paraId="061D8AED" w14:textId="000AA9EB" w:rsidR="003C51CF" w:rsidRDefault="003C51CF" w:rsidP="003C51CF">
            <w:r>
              <w:t>- sklejka;</w:t>
            </w:r>
          </w:p>
        </w:tc>
      </w:tr>
      <w:tr w:rsidR="003C51CF" w14:paraId="2907A8FD" w14:textId="77777777" w:rsidTr="006444B2">
        <w:trPr>
          <w:trHeight w:val="709"/>
        </w:trPr>
        <w:tc>
          <w:tcPr>
            <w:tcW w:w="999" w:type="pct"/>
          </w:tcPr>
          <w:p w14:paraId="1BC4B57C" w14:textId="7BCB185C"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Kabina lustrzana</w:t>
            </w:r>
          </w:p>
        </w:tc>
        <w:tc>
          <w:tcPr>
            <w:tcW w:w="509" w:type="pct"/>
          </w:tcPr>
          <w:p w14:paraId="647308B2" w14:textId="1523C9ED"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18CC7" w14:textId="19064F88"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FD21DCA" w14:textId="77777777" w:rsidR="003C51CF" w:rsidRDefault="003C51CF" w:rsidP="003C51CF">
            <w:r>
              <w:t xml:space="preserve">- min. 4 elementy, </w:t>
            </w:r>
          </w:p>
          <w:p w14:paraId="7D6CB425" w14:textId="77777777" w:rsidR="003C51CF" w:rsidRDefault="003C51CF" w:rsidP="003C51CF">
            <w:r>
              <w:t xml:space="preserve">- lustra akrylowe, </w:t>
            </w:r>
          </w:p>
          <w:p w14:paraId="4E9A8055" w14:textId="77777777" w:rsidR="003C51CF" w:rsidRDefault="003C51CF" w:rsidP="003C51CF">
            <w:r>
              <w:t xml:space="preserve">- kolumna wodna, </w:t>
            </w:r>
          </w:p>
          <w:p w14:paraId="381CDBE3" w14:textId="77777777" w:rsidR="003C51CF" w:rsidRDefault="003C51CF" w:rsidP="003C51CF">
            <w:r>
              <w:t xml:space="preserve">- światła LED, </w:t>
            </w:r>
          </w:p>
          <w:p w14:paraId="1E22684A" w14:textId="04DCEB28" w:rsidR="003C51CF" w:rsidRDefault="003C51CF" w:rsidP="003C51CF">
            <w:r>
              <w:t>- światłowody;</w:t>
            </w:r>
          </w:p>
        </w:tc>
      </w:tr>
      <w:tr w:rsidR="003C51CF" w14:paraId="338ABE73" w14:textId="77777777" w:rsidTr="006444B2">
        <w:trPr>
          <w:trHeight w:val="709"/>
        </w:trPr>
        <w:tc>
          <w:tcPr>
            <w:tcW w:w="999" w:type="pct"/>
          </w:tcPr>
          <w:p w14:paraId="39B74151" w14:textId="2350A391"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Światło UV</w:t>
            </w:r>
          </w:p>
        </w:tc>
        <w:tc>
          <w:tcPr>
            <w:tcW w:w="509" w:type="pct"/>
          </w:tcPr>
          <w:p w14:paraId="46518270" w14:textId="07D0AB02"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005DD80" w14:textId="6B3D1AD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4049772C" w14:textId="77777777" w:rsidR="003C51CF" w:rsidRDefault="003C51CF" w:rsidP="003C51CF">
            <w:r>
              <w:t xml:space="preserve">- długość min. 50 cm, </w:t>
            </w:r>
          </w:p>
          <w:p w14:paraId="6F8B4E14" w14:textId="77777777" w:rsidR="003C51CF" w:rsidRDefault="003C51CF" w:rsidP="003C51CF">
            <w:r>
              <w:lastRenderedPageBreak/>
              <w:t xml:space="preserve">- szerokość min. 2 cm, </w:t>
            </w:r>
          </w:p>
          <w:p w14:paraId="3C0F5709" w14:textId="4620F735" w:rsidR="003C51CF" w:rsidRDefault="003C51CF" w:rsidP="003C51CF">
            <w:r>
              <w:t>- ilość diod min. 100;</w:t>
            </w:r>
          </w:p>
        </w:tc>
      </w:tr>
      <w:tr w:rsidR="003C51CF" w14:paraId="314D6D57" w14:textId="77777777" w:rsidTr="006444B2">
        <w:trPr>
          <w:trHeight w:val="709"/>
        </w:trPr>
        <w:tc>
          <w:tcPr>
            <w:tcW w:w="999" w:type="pct"/>
          </w:tcPr>
          <w:p w14:paraId="66409995" w14:textId="09932D64"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Taśma LED</w:t>
            </w:r>
          </w:p>
        </w:tc>
        <w:tc>
          <w:tcPr>
            <w:tcW w:w="509" w:type="pct"/>
          </w:tcPr>
          <w:p w14:paraId="5750D5C6" w14:textId="703DD966"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5325F54E" w14:textId="0FCA0502"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4</w:t>
            </w:r>
          </w:p>
        </w:tc>
        <w:tc>
          <w:tcPr>
            <w:tcW w:w="3105" w:type="pct"/>
          </w:tcPr>
          <w:p w14:paraId="53B8D7C1" w14:textId="77777777" w:rsidR="003C51CF" w:rsidRDefault="003C51CF" w:rsidP="003C51CF">
            <w:r>
              <w:t xml:space="preserve">- liczba LED: min. 100/metr, </w:t>
            </w:r>
          </w:p>
          <w:p w14:paraId="42D79C5E" w14:textId="77777777" w:rsidR="003C51CF" w:rsidRDefault="003C51CF" w:rsidP="003C51CF">
            <w:r>
              <w:t xml:space="preserve">- możliwość regulowania długości taśmy, </w:t>
            </w:r>
          </w:p>
          <w:p w14:paraId="72408C25" w14:textId="5A8058ED" w:rsidR="003C51CF" w:rsidRDefault="003C51CF" w:rsidP="003C51CF">
            <w:r>
              <w:t>- klasa energetyczna A+</w:t>
            </w:r>
          </w:p>
        </w:tc>
      </w:tr>
      <w:tr w:rsidR="003C51CF" w14:paraId="3279754B" w14:textId="77777777" w:rsidTr="006444B2">
        <w:trPr>
          <w:trHeight w:val="709"/>
        </w:trPr>
        <w:tc>
          <w:tcPr>
            <w:tcW w:w="999" w:type="pct"/>
          </w:tcPr>
          <w:p w14:paraId="5DF13D38" w14:textId="6672A99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Zestaw kula lustrzana</w:t>
            </w:r>
          </w:p>
        </w:tc>
        <w:tc>
          <w:tcPr>
            <w:tcW w:w="509" w:type="pct"/>
          </w:tcPr>
          <w:p w14:paraId="0AC6780C" w14:textId="3014BDB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AF80AA5" w14:textId="26BFF0A0"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435AF0AA" w14:textId="77777777" w:rsidR="003C51CF" w:rsidRDefault="003C51CF" w:rsidP="003C51CF">
            <w:r>
              <w:t xml:space="preserve">- średnica kuli min. 20 cm, </w:t>
            </w:r>
          </w:p>
          <w:p w14:paraId="5D86FB24" w14:textId="77777777" w:rsidR="003C51CF" w:rsidRDefault="003C51CF" w:rsidP="003C51CF">
            <w:r>
              <w:t xml:space="preserve">- reflektor punktowy, </w:t>
            </w:r>
          </w:p>
          <w:p w14:paraId="12C11B36" w14:textId="77777777" w:rsidR="003C51CF" w:rsidRDefault="003C51CF" w:rsidP="003C51CF">
            <w:r>
              <w:t xml:space="preserve">- sterowanie na pilota, </w:t>
            </w:r>
          </w:p>
          <w:p w14:paraId="18BD552E" w14:textId="10D21810" w:rsidR="003C51CF" w:rsidRDefault="003C51CF" w:rsidP="003C51CF">
            <w:r>
              <w:t>- zasilanie: baterie AAA;</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lastRenderedPageBreak/>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5D81D401"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3C51CF">
        <w:t>1</w:t>
      </w:r>
      <w:r w:rsidR="0034134A">
        <w:t>9</w:t>
      </w:r>
      <w:r w:rsidR="003C51CF">
        <w:t>.07</w:t>
      </w:r>
      <w:r>
        <w:t>.2021</w:t>
      </w:r>
      <w:proofErr w:type="gramEnd"/>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lastRenderedPageBreak/>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BF5216">
        <w:rPr>
          <w:rFonts w:cs="Calibri"/>
          <w:color w:val="000000"/>
          <w:lang w:eastAsia="en-US"/>
        </w:rPr>
        <w:lastRenderedPageBreak/>
        <w:t xml:space="preserve">Funduszu Spójności i Europejskiego Funduszu Morskiego i Rybackiego oraz uchylającego rozporządzenie Rady (WE) nr 1083/2006; </w:t>
      </w: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17F80" w14:textId="77777777" w:rsidR="00F51BC9" w:rsidRDefault="00F51BC9" w:rsidP="006320FD">
      <w:pPr>
        <w:spacing w:after="0" w:line="240" w:lineRule="auto"/>
      </w:pPr>
      <w:r>
        <w:separator/>
      </w:r>
    </w:p>
  </w:endnote>
  <w:endnote w:type="continuationSeparator" w:id="0">
    <w:p w14:paraId="7A4450F7" w14:textId="77777777" w:rsidR="00F51BC9" w:rsidRDefault="00F51BC9"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F9D2" w14:textId="77777777" w:rsidR="00F51BC9" w:rsidRDefault="00F51BC9" w:rsidP="006320FD">
      <w:pPr>
        <w:spacing w:after="0" w:line="240" w:lineRule="auto"/>
      </w:pPr>
      <w:r>
        <w:separator/>
      </w:r>
    </w:p>
  </w:footnote>
  <w:footnote w:type="continuationSeparator" w:id="0">
    <w:p w14:paraId="5DB1A802" w14:textId="77777777" w:rsidR="00F51BC9" w:rsidRDefault="00F51BC9"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3F40"/>
    <w:rsid w:val="000250E2"/>
    <w:rsid w:val="00036510"/>
    <w:rsid w:val="00042FA4"/>
    <w:rsid w:val="00044C9B"/>
    <w:rsid w:val="00050B86"/>
    <w:rsid w:val="00054BC3"/>
    <w:rsid w:val="00055D31"/>
    <w:rsid w:val="00063969"/>
    <w:rsid w:val="00072985"/>
    <w:rsid w:val="0008005B"/>
    <w:rsid w:val="00080D94"/>
    <w:rsid w:val="000844C8"/>
    <w:rsid w:val="00093934"/>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211A6"/>
    <w:rsid w:val="0034134A"/>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1CD0"/>
    <w:rsid w:val="004D21B5"/>
    <w:rsid w:val="004D7AB0"/>
    <w:rsid w:val="004E6087"/>
    <w:rsid w:val="004F6FF4"/>
    <w:rsid w:val="00504F9C"/>
    <w:rsid w:val="00526410"/>
    <w:rsid w:val="005441E8"/>
    <w:rsid w:val="005456E1"/>
    <w:rsid w:val="00546EA4"/>
    <w:rsid w:val="00555796"/>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D1757"/>
    <w:rsid w:val="009D1F48"/>
    <w:rsid w:val="009F65BF"/>
    <w:rsid w:val="00A042DF"/>
    <w:rsid w:val="00A11ADE"/>
    <w:rsid w:val="00A12CF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E2C0C"/>
    <w:rsid w:val="00AF2BD5"/>
    <w:rsid w:val="00AF2FA5"/>
    <w:rsid w:val="00B034D6"/>
    <w:rsid w:val="00B071E8"/>
    <w:rsid w:val="00B300F4"/>
    <w:rsid w:val="00B339D3"/>
    <w:rsid w:val="00B361EE"/>
    <w:rsid w:val="00B40595"/>
    <w:rsid w:val="00B50C80"/>
    <w:rsid w:val="00B54EDD"/>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08F2"/>
    <w:rsid w:val="00E433DB"/>
    <w:rsid w:val="00E4355F"/>
    <w:rsid w:val="00E46A2A"/>
    <w:rsid w:val="00E5138A"/>
    <w:rsid w:val="00E67D9A"/>
    <w:rsid w:val="00E72709"/>
    <w:rsid w:val="00E74BD8"/>
    <w:rsid w:val="00E90E4A"/>
    <w:rsid w:val="00E92AFC"/>
    <w:rsid w:val="00E9548B"/>
    <w:rsid w:val="00E9678D"/>
    <w:rsid w:val="00EA09F7"/>
    <w:rsid w:val="00EA7F5E"/>
    <w:rsid w:val="00EC52BF"/>
    <w:rsid w:val="00EC57A8"/>
    <w:rsid w:val="00EE02AF"/>
    <w:rsid w:val="00EE5409"/>
    <w:rsid w:val="00EF11EC"/>
    <w:rsid w:val="00EF6780"/>
    <w:rsid w:val="00F062AD"/>
    <w:rsid w:val="00F2136F"/>
    <w:rsid w:val="00F3711E"/>
    <w:rsid w:val="00F51BC9"/>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2DEB-6DD6-4B5C-A0E1-B00F7950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2103</Words>
  <Characters>12619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7</cp:revision>
  <cp:lastPrinted>2020-12-23T19:18:00Z</cp:lastPrinted>
  <dcterms:created xsi:type="dcterms:W3CDTF">2021-06-30T09:06:00Z</dcterms:created>
  <dcterms:modified xsi:type="dcterms:W3CDTF">2021-07-09T15:35:00Z</dcterms:modified>
</cp:coreProperties>
</file>